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11" w:rsidRPr="005E7C11" w:rsidRDefault="005E7C11" w:rsidP="005E7C11">
      <w:pPr>
        <w:spacing w:beforeLines="30" w:before="72" w:afterLines="30" w:after="72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231F20"/>
          <w:sz w:val="32"/>
          <w:szCs w:val="32"/>
          <w:lang w:eastAsia="hr-HR"/>
        </w:rPr>
      </w:pPr>
      <w:r w:rsidRPr="005E7C11">
        <w:rPr>
          <w:rFonts w:ascii="Times New Roman" w:eastAsia="Times New Roman" w:hAnsi="Times New Roman"/>
          <w:b/>
          <w:bCs/>
          <w:color w:val="231F20"/>
          <w:sz w:val="32"/>
          <w:szCs w:val="32"/>
          <w:lang w:eastAsia="hr-HR"/>
        </w:rPr>
        <w:t>ZAKON O HRVATSKIM BRANITELJIMA IZ DOMOVINSKOG RATA I ČLANOVIMA NJIHOVIH OBITELJI</w:t>
      </w:r>
    </w:p>
    <w:p w:rsidR="005E7C11" w:rsidRPr="005E7C11" w:rsidRDefault="005E7C11" w:rsidP="005E7C11">
      <w:pPr>
        <w:spacing w:beforeLines="30" w:before="72" w:afterLines="30" w:after="72" w:line="240" w:lineRule="auto"/>
        <w:jc w:val="center"/>
        <w:textAlignment w:val="baseline"/>
        <w:rPr>
          <w:rFonts w:ascii="Times New Roman" w:eastAsia="Times New Roman" w:hAnsi="Times New Roman"/>
          <w:color w:val="231F20"/>
          <w:sz w:val="32"/>
          <w:szCs w:val="32"/>
          <w:lang w:eastAsia="hr-HR"/>
        </w:rPr>
      </w:pPr>
    </w:p>
    <w:p w:rsidR="005E7C11" w:rsidRPr="005E7C11" w:rsidRDefault="005E7C11" w:rsidP="005E7C11">
      <w:pPr>
        <w:spacing w:beforeLines="30" w:before="72" w:afterLines="30" w:after="72" w:line="240" w:lineRule="auto"/>
        <w:jc w:val="center"/>
        <w:textAlignment w:val="baseline"/>
        <w:rPr>
          <w:rFonts w:ascii="Times New Roman" w:eastAsia="Times New Roman" w:hAnsi="Times New Roman"/>
          <w:iCs/>
          <w:color w:val="231F20"/>
          <w:sz w:val="32"/>
          <w:szCs w:val="32"/>
          <w:lang w:eastAsia="hr-HR"/>
        </w:rPr>
      </w:pPr>
      <w:r w:rsidRPr="005E7C11">
        <w:rPr>
          <w:rFonts w:ascii="Times New Roman" w:eastAsia="Times New Roman" w:hAnsi="Times New Roman"/>
          <w:iCs/>
          <w:color w:val="231F20"/>
          <w:sz w:val="32"/>
          <w:szCs w:val="32"/>
          <w:lang w:eastAsia="hr-HR"/>
        </w:rPr>
        <w:t>Smještaj u učeničke i studentske domove</w:t>
      </w:r>
    </w:p>
    <w:p w:rsidR="005E7C11" w:rsidRPr="005E7C11" w:rsidRDefault="005E7C11" w:rsidP="005E7C11">
      <w:pPr>
        <w:spacing w:beforeLines="30" w:before="72" w:afterLines="30" w:after="72" w:line="240" w:lineRule="auto"/>
        <w:jc w:val="center"/>
        <w:textAlignment w:val="baseline"/>
        <w:rPr>
          <w:rFonts w:ascii="Times New Roman" w:eastAsia="Times New Roman" w:hAnsi="Times New Roman"/>
          <w:color w:val="231F20"/>
          <w:sz w:val="32"/>
          <w:szCs w:val="32"/>
          <w:lang w:eastAsia="hr-HR"/>
        </w:rPr>
      </w:pPr>
      <w:r w:rsidRPr="005E7C11">
        <w:rPr>
          <w:rFonts w:ascii="Times New Roman" w:eastAsia="Times New Roman" w:hAnsi="Times New Roman"/>
          <w:color w:val="231F20"/>
          <w:sz w:val="32"/>
          <w:szCs w:val="32"/>
          <w:lang w:eastAsia="hr-HR"/>
        </w:rPr>
        <w:t>Članak 126.</w:t>
      </w:r>
    </w:p>
    <w:p w:rsidR="005E7C11" w:rsidRPr="005E7C11" w:rsidRDefault="005E7C11" w:rsidP="005E7C11">
      <w:pPr>
        <w:spacing w:beforeLines="30" w:before="72" w:afterLines="30" w:after="72" w:line="240" w:lineRule="auto"/>
        <w:textAlignment w:val="baseline"/>
        <w:rPr>
          <w:rFonts w:ascii="Times New Roman" w:eastAsia="Times New Roman" w:hAnsi="Times New Roman"/>
          <w:color w:val="231F20"/>
          <w:sz w:val="32"/>
          <w:szCs w:val="32"/>
          <w:lang w:eastAsia="hr-HR"/>
        </w:rPr>
      </w:pPr>
      <w:r w:rsidRPr="005E7C11">
        <w:rPr>
          <w:rFonts w:ascii="Times New Roman" w:eastAsia="Times New Roman" w:hAnsi="Times New Roman"/>
          <w:color w:val="231F20"/>
          <w:sz w:val="32"/>
          <w:szCs w:val="32"/>
          <w:lang w:eastAsia="hr-HR"/>
        </w:rPr>
        <w:t xml:space="preserve">(1) Djeca smrtno stradalog hrvatskog branitelja iz Domovinskog rata, djeca nestalog hrvatskog branitelja iz Domovinskog rata i djeca hrvatskog ratnog vojnog invalida iz Domovinskog rata imaju pravo na izravan smještaj u učeničke i studentske domove ako im prihod po članu kućanstva ne prelazi 60% proračunske osnovice i pod drugim uvjetima određenim posebnim propisima kojima se uređuju uvjeti i </w:t>
      </w:r>
      <w:bookmarkStart w:id="0" w:name="_GoBack"/>
      <w:bookmarkEnd w:id="0"/>
      <w:r w:rsidRPr="005E7C11">
        <w:rPr>
          <w:rFonts w:ascii="Times New Roman" w:eastAsia="Times New Roman" w:hAnsi="Times New Roman"/>
          <w:color w:val="231F20"/>
          <w:sz w:val="32"/>
          <w:szCs w:val="32"/>
          <w:lang w:eastAsia="hr-HR"/>
        </w:rPr>
        <w:t>način smještaja u učeničkim i studentskim domovima.</w:t>
      </w:r>
    </w:p>
    <w:p w:rsidR="005E7C11" w:rsidRPr="005E7C11" w:rsidRDefault="005E7C11" w:rsidP="005E7C11">
      <w:pPr>
        <w:spacing w:beforeLines="30" w:before="72" w:afterLines="30" w:after="72" w:line="240" w:lineRule="auto"/>
        <w:textAlignment w:val="baseline"/>
        <w:rPr>
          <w:rFonts w:ascii="Times New Roman" w:eastAsia="Times New Roman" w:hAnsi="Times New Roman"/>
          <w:color w:val="FF0000"/>
          <w:sz w:val="32"/>
          <w:szCs w:val="32"/>
          <w:lang w:eastAsia="hr-HR"/>
        </w:rPr>
      </w:pPr>
      <w:r w:rsidRPr="005E7C11">
        <w:rPr>
          <w:rFonts w:ascii="Times New Roman" w:eastAsia="Times New Roman" w:hAnsi="Times New Roman"/>
          <w:color w:val="FF0000"/>
          <w:sz w:val="32"/>
          <w:szCs w:val="32"/>
          <w:lang w:eastAsia="hr-HR"/>
        </w:rPr>
        <w:t xml:space="preserve">(2) Osobe iz stavka 1. ovoga članka </w:t>
      </w:r>
      <w:r w:rsidRPr="005E7C11">
        <w:rPr>
          <w:rFonts w:ascii="Times New Roman" w:eastAsia="Times New Roman" w:hAnsi="Times New Roman"/>
          <w:b/>
          <w:color w:val="4472C4" w:themeColor="accent5"/>
          <w:sz w:val="32"/>
          <w:szCs w:val="32"/>
          <w:lang w:eastAsia="hr-HR"/>
        </w:rPr>
        <w:t>ako ne udovoljavaju uvjetima za izravan smještaj u učeničke i studentske domove</w:t>
      </w:r>
      <w:r w:rsidRPr="005E7C11">
        <w:rPr>
          <w:rFonts w:ascii="Times New Roman" w:eastAsia="Times New Roman" w:hAnsi="Times New Roman"/>
          <w:color w:val="FF0000"/>
          <w:sz w:val="32"/>
          <w:szCs w:val="32"/>
          <w:lang w:eastAsia="hr-HR"/>
        </w:rPr>
        <w:t xml:space="preserve"> i djeca hrvatskih branitelja iz Domovinskog rata koji su u obrani suvereniteta Republike Hrvatske </w:t>
      </w:r>
      <w:r w:rsidRPr="005E7C11">
        <w:rPr>
          <w:rFonts w:ascii="Times New Roman" w:eastAsia="Times New Roman" w:hAnsi="Times New Roman"/>
          <w:b/>
          <w:color w:val="4472C4" w:themeColor="accent5"/>
          <w:sz w:val="32"/>
          <w:szCs w:val="32"/>
          <w:lang w:eastAsia="hr-HR"/>
        </w:rPr>
        <w:t>sudjelovali najmanje 100 dana u borbenom sektoru imaju prednost pri smještaju u učeničke i studentske domove tako da im se dodijeli dodatni broj bodova</w:t>
      </w:r>
      <w:r w:rsidRPr="005E7C11">
        <w:rPr>
          <w:rFonts w:ascii="Times New Roman" w:eastAsia="Times New Roman" w:hAnsi="Times New Roman"/>
          <w:color w:val="4472C4" w:themeColor="accent5"/>
          <w:sz w:val="32"/>
          <w:szCs w:val="32"/>
          <w:lang w:eastAsia="hr-HR"/>
        </w:rPr>
        <w:t xml:space="preserve"> </w:t>
      </w:r>
      <w:r w:rsidRPr="005E7C11">
        <w:rPr>
          <w:rFonts w:ascii="Times New Roman" w:eastAsia="Times New Roman" w:hAnsi="Times New Roman"/>
          <w:color w:val="FF0000"/>
          <w:sz w:val="32"/>
          <w:szCs w:val="32"/>
          <w:lang w:eastAsia="hr-HR"/>
        </w:rPr>
        <w:t>određen posebnim propisima kojima se uređuje uvjeti i način smještaja u učeničkim i studentskim domovima.</w:t>
      </w:r>
    </w:p>
    <w:p w:rsidR="00017534" w:rsidRPr="005E7C11" w:rsidRDefault="00017534">
      <w:pPr>
        <w:rPr>
          <w:sz w:val="32"/>
          <w:szCs w:val="32"/>
        </w:rPr>
      </w:pPr>
    </w:p>
    <w:sectPr w:rsidR="00017534" w:rsidRPr="005E7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11"/>
    <w:rsid w:val="00017534"/>
    <w:rsid w:val="005E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42A3F-8DF8-43D0-9BD9-C634813D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C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 Matković</dc:creator>
  <cp:keywords/>
  <dc:description/>
  <cp:lastModifiedBy>Matko Matković</cp:lastModifiedBy>
  <cp:revision>1</cp:revision>
  <dcterms:created xsi:type="dcterms:W3CDTF">2018-07-05T06:26:00Z</dcterms:created>
  <dcterms:modified xsi:type="dcterms:W3CDTF">2018-07-05T06:29:00Z</dcterms:modified>
</cp:coreProperties>
</file>